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8562E" w14:textId="6F60C87B" w:rsidR="002D1E78" w:rsidRDefault="002D1E78">
      <w:r>
        <w:t>Link to Treasury website page (EN):</w:t>
      </w:r>
    </w:p>
    <w:p w14:paraId="673FDC99" w14:textId="6E3FD34B" w:rsidR="00BD7A76" w:rsidRDefault="002D1E78">
      <w:hyperlink r:id="rId4" w:history="1">
        <w:r w:rsidRPr="006F4E94">
          <w:rPr>
            <w:rStyle w:val="Hyperlink"/>
          </w:rPr>
          <w:t>https://treasury.gov.mt/en/resources/publications/rollover-of-62-malta-government-savings-bond/</w:t>
        </w:r>
      </w:hyperlink>
    </w:p>
    <w:p w14:paraId="6D30B6B1" w14:textId="6549D506" w:rsidR="002D1E78" w:rsidRDefault="002D1E78"/>
    <w:p w14:paraId="7A39E77C" w14:textId="77777777" w:rsidR="002D1E78" w:rsidRDefault="002D1E78"/>
    <w:p w14:paraId="260396F1" w14:textId="17D489EB" w:rsidR="002D1E78" w:rsidRDefault="002D1E78">
      <w:pPr>
        <w:rPr>
          <w:b/>
          <w:bCs/>
          <w:u w:val="single"/>
        </w:rPr>
      </w:pPr>
      <w:r w:rsidRPr="002D1E78">
        <w:rPr>
          <w:b/>
          <w:bCs/>
          <w:u w:val="single"/>
        </w:rPr>
        <w:t>13/10/2026</w:t>
      </w:r>
    </w:p>
    <w:p w14:paraId="64E31672" w14:textId="77777777" w:rsidR="002D1E78" w:rsidRDefault="002D1E78">
      <w:pPr>
        <w:rPr>
          <w:b/>
          <w:bCs/>
          <w:u w:val="single"/>
        </w:rPr>
      </w:pPr>
    </w:p>
    <w:p w14:paraId="321998D3" w14:textId="4B6C26DF" w:rsidR="002D1E78" w:rsidRDefault="002D1E78" w:rsidP="002D1E78">
      <w:pPr>
        <w:jc w:val="both"/>
      </w:pPr>
      <w:r w:rsidRPr="002D1E78">
        <w:t xml:space="preserve">The Treasury Department announces the results of the </w:t>
      </w:r>
      <w:r w:rsidRPr="00CF2D82">
        <w:rPr>
          <w:color w:val="074F6A" w:themeColor="accent4" w:themeShade="80"/>
          <w:u w:val="single"/>
        </w:rPr>
        <w:t xml:space="preserve">62+ MGSB – 2021 Issue </w:t>
      </w:r>
      <w:r w:rsidRPr="00CF2D82">
        <w:rPr>
          <w:color w:val="074F6A" w:themeColor="accent4" w:themeShade="80"/>
          <w:u w:val="single"/>
        </w:rPr>
        <w:t>rollover</w:t>
      </w:r>
      <w:r w:rsidRPr="00CF2D82">
        <w:rPr>
          <w:color w:val="074F6A" w:themeColor="accent4" w:themeShade="80"/>
        </w:rPr>
        <w:t xml:space="preserve"> </w:t>
      </w:r>
      <w:r w:rsidRPr="002D1E78">
        <w:t>offer launched on Friday, 18 September 2026</w:t>
      </w:r>
      <w:r>
        <w:t xml:space="preserve">, </w:t>
      </w:r>
      <w:r w:rsidRPr="002D1E78">
        <w:t>via Press Release No. PR261510.</w:t>
      </w:r>
    </w:p>
    <w:p w14:paraId="41AD56A5" w14:textId="77777777" w:rsidR="002D1E78" w:rsidRDefault="002D1E78" w:rsidP="002D1E78">
      <w:pPr>
        <w:jc w:val="both"/>
      </w:pPr>
    </w:p>
    <w:p w14:paraId="3FC3B11F" w14:textId="01ECF38C" w:rsidR="002D1E78" w:rsidRDefault="002D1E78" w:rsidP="002D1E78">
      <w:pPr>
        <w:jc w:val="both"/>
      </w:pPr>
      <w:r w:rsidRPr="002D1E78">
        <w:t xml:space="preserve">More information can be found in the </w:t>
      </w:r>
      <w:r w:rsidR="00CF2D82">
        <w:t xml:space="preserve">62+ </w:t>
      </w:r>
      <w:r w:rsidRPr="002D1E78">
        <w:t xml:space="preserve">MGSB </w:t>
      </w:r>
      <w:r w:rsidR="00CF2D82">
        <w:t xml:space="preserve">Rollover </w:t>
      </w:r>
      <w:r w:rsidRPr="002D1E78">
        <w:t xml:space="preserve">Results </w:t>
      </w:r>
      <w:r>
        <w:t xml:space="preserve">and in the DOI </w:t>
      </w:r>
      <w:hyperlink r:id="rId5" w:history="1">
        <w:r w:rsidRPr="00CF2D82">
          <w:rPr>
            <w:rStyle w:val="Hyperlink"/>
          </w:rPr>
          <w:t>Press</w:t>
        </w:r>
        <w:r w:rsidRPr="00CF2D82">
          <w:rPr>
            <w:rStyle w:val="Hyperlink"/>
          </w:rPr>
          <w:t xml:space="preserve"> </w:t>
        </w:r>
        <w:r w:rsidRPr="00CF2D82">
          <w:rPr>
            <w:rStyle w:val="Hyperlink"/>
          </w:rPr>
          <w:t>Release</w:t>
        </w:r>
      </w:hyperlink>
      <w:r w:rsidR="00CF2D82">
        <w:t>.</w:t>
      </w:r>
    </w:p>
    <w:p w14:paraId="1FAFF0C5" w14:textId="77777777" w:rsidR="00CF2D82" w:rsidRDefault="00CF2D82" w:rsidP="002D1E78">
      <w:pPr>
        <w:jc w:val="both"/>
      </w:pPr>
    </w:p>
    <w:p w14:paraId="151186F2" w14:textId="77777777" w:rsidR="00CF2D82" w:rsidRDefault="00CF2D82" w:rsidP="00212BF1">
      <w:pPr>
        <w:pBdr>
          <w:bottom w:val="single" w:sz="4" w:space="1" w:color="auto"/>
        </w:pBdr>
        <w:jc w:val="both"/>
      </w:pPr>
    </w:p>
    <w:p w14:paraId="34E982E1" w14:textId="77777777" w:rsidR="00CF2D82" w:rsidRDefault="00CF2D82" w:rsidP="002D1E78">
      <w:pPr>
        <w:jc w:val="both"/>
      </w:pPr>
    </w:p>
    <w:p w14:paraId="321F546B" w14:textId="1360A0A3" w:rsidR="00CF2D82" w:rsidRDefault="00CF2D82" w:rsidP="00CF2D82">
      <w:r>
        <w:t>Link to Treasury website page (</w:t>
      </w:r>
      <w:r>
        <w:t>MT</w:t>
      </w:r>
      <w:r>
        <w:t>):</w:t>
      </w:r>
    </w:p>
    <w:p w14:paraId="6F9FD926" w14:textId="77777777" w:rsidR="00CF2D82" w:rsidRDefault="00CF2D82" w:rsidP="00CF2D82"/>
    <w:p w14:paraId="41BE7A4E" w14:textId="48A4032A" w:rsidR="00CF2D82" w:rsidRDefault="00CF2D82" w:rsidP="00CF2D82">
      <w:hyperlink r:id="rId6" w:history="1">
        <w:r w:rsidRPr="006F4E94">
          <w:rPr>
            <w:rStyle w:val="Hyperlink"/>
          </w:rPr>
          <w:t>https://treasury.gov.mt/rizorsi/pubblikazzjonijiet/offerta-ta-tigdid-tat-62-malta-government-savings-bond/</w:t>
        </w:r>
      </w:hyperlink>
    </w:p>
    <w:p w14:paraId="4123F766" w14:textId="6C71D2D2" w:rsidR="00CF2D82" w:rsidRDefault="00CF2D82" w:rsidP="00CF2D82"/>
    <w:p w14:paraId="1BD6C8FE" w14:textId="77777777" w:rsidR="00CF2D82" w:rsidRDefault="00CF2D82" w:rsidP="00CF2D82"/>
    <w:p w14:paraId="19E96FF3" w14:textId="77777777" w:rsidR="00CF2D82" w:rsidRDefault="00CF2D82" w:rsidP="00CF2D82">
      <w:pPr>
        <w:rPr>
          <w:b/>
          <w:bCs/>
          <w:u w:val="single"/>
        </w:rPr>
      </w:pPr>
      <w:r w:rsidRPr="002D1E78">
        <w:rPr>
          <w:b/>
          <w:bCs/>
          <w:u w:val="single"/>
        </w:rPr>
        <w:t>13/10/2026</w:t>
      </w:r>
    </w:p>
    <w:p w14:paraId="2B786F2E" w14:textId="77777777" w:rsidR="00CF2D82" w:rsidRDefault="00CF2D82" w:rsidP="00CF2D82">
      <w:pPr>
        <w:rPr>
          <w:b/>
          <w:bCs/>
          <w:u w:val="single"/>
        </w:rPr>
      </w:pPr>
    </w:p>
    <w:p w14:paraId="3F428EEB" w14:textId="2D17FEEC" w:rsidR="00CF2D82" w:rsidRPr="00CF2D82" w:rsidRDefault="00CF2D82" w:rsidP="00CF2D82">
      <w:pPr>
        <w:spacing w:after="0" w:line="240" w:lineRule="auto"/>
        <w:jc w:val="both"/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</w:pPr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Id-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Dipartiment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tat-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Teżor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iħabbar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ir-riżultati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tal-offerta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ta’</w:t>
      </w:r>
      <w:r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R</w:t>
      </w:r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ollover ta</w:t>
      </w:r>
      <w:r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’ </w:t>
      </w:r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62+ MGSB –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Ħruġ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</w:t>
      </w:r>
      <w:r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</w:t>
      </w:r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2021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imnedija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nhar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il-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Ġimgħa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, 18 ta’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Settembru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2026,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permezz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ta’</w:t>
      </w:r>
      <w:r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Stqarrija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għall-Istampa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Nru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. PR261510.</w:t>
      </w:r>
    </w:p>
    <w:p w14:paraId="777198BF" w14:textId="77777777" w:rsidR="00CF2D82" w:rsidRPr="00CF2D82" w:rsidRDefault="00CF2D82" w:rsidP="00CF2D82">
      <w:pPr>
        <w:spacing w:after="0" w:line="240" w:lineRule="auto"/>
        <w:jc w:val="both"/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</w:pPr>
    </w:p>
    <w:p w14:paraId="5BFDCD3F" w14:textId="0400DDB2" w:rsidR="00CF2D82" w:rsidRPr="00CF2D82" w:rsidRDefault="00CF2D82" w:rsidP="00CF2D82">
      <w:pPr>
        <w:spacing w:after="0" w:line="240" w:lineRule="auto"/>
        <w:jc w:val="both"/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</w:pPr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Aktar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informazzjoni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tinsab</w:t>
      </w:r>
      <w:proofErr w:type="spellEnd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 fir-</w:t>
      </w:r>
      <w:proofErr w:type="spellStart"/>
      <w:r w:rsidRPr="00212BF1">
        <w:rPr>
          <w:rFonts w:eastAsia="Times New Roman" w:cs="Arial"/>
          <w:color w:val="074F6A" w:themeColor="accent4" w:themeShade="80"/>
          <w:spacing w:val="8"/>
          <w:kern w:val="0"/>
          <w:u w:val="single"/>
          <w:lang w:eastAsia="en-GB"/>
          <w14:ligatures w14:val="none"/>
        </w:rPr>
        <w:t>riżultati</w:t>
      </w:r>
      <w:proofErr w:type="spellEnd"/>
      <w:r w:rsidRPr="00212BF1">
        <w:rPr>
          <w:rFonts w:eastAsia="Times New Roman" w:cs="Arial"/>
          <w:color w:val="074F6A" w:themeColor="accent4" w:themeShade="80"/>
          <w:spacing w:val="8"/>
          <w:kern w:val="0"/>
          <w:u w:val="single"/>
          <w:lang w:eastAsia="en-GB"/>
          <w14:ligatures w14:val="none"/>
        </w:rPr>
        <w:t xml:space="preserve"> ta’</w:t>
      </w:r>
      <w:r w:rsidRPr="00212BF1">
        <w:rPr>
          <w:rFonts w:eastAsia="Times New Roman" w:cs="Arial"/>
          <w:color w:val="074F6A" w:themeColor="accent4" w:themeShade="80"/>
          <w:spacing w:val="8"/>
          <w:kern w:val="0"/>
          <w:u w:val="single"/>
          <w:lang w:eastAsia="en-GB"/>
          <w14:ligatures w14:val="none"/>
        </w:rPr>
        <w:t xml:space="preserve"> </w:t>
      </w:r>
      <w:r w:rsidRPr="00212BF1">
        <w:rPr>
          <w:rFonts w:eastAsia="Times New Roman" w:cs="Arial"/>
          <w:color w:val="074F6A" w:themeColor="accent4" w:themeShade="80"/>
          <w:spacing w:val="8"/>
          <w:kern w:val="0"/>
          <w:u w:val="single"/>
          <w:lang w:eastAsia="en-GB"/>
          <w14:ligatures w14:val="none"/>
        </w:rPr>
        <w:t>62+ MGSB Rollover</w:t>
      </w:r>
      <w:r w:rsidRPr="00CF2D82">
        <w:rPr>
          <w:rFonts w:eastAsia="Times New Roman" w:cs="Arial"/>
          <w:color w:val="074F6A" w:themeColor="accent4" w:themeShade="80"/>
          <w:spacing w:val="8"/>
          <w:kern w:val="0"/>
          <w:lang w:eastAsia="en-GB"/>
          <w14:ligatures w14:val="none"/>
        </w:rPr>
        <w:t xml:space="preserve"> </w:t>
      </w:r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 xml:space="preserve">u </w:t>
      </w:r>
      <w:proofErr w:type="spellStart"/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fl-</w:t>
      </w:r>
      <w:hyperlink r:id="rId7" w:history="1">
        <w:r w:rsidRPr="00212BF1">
          <w:rPr>
            <w:rStyle w:val="Hyperlink"/>
            <w:rFonts w:eastAsia="Times New Roman" w:cs="Arial"/>
            <w:color w:val="233C43" w:themeColor="hyperlink" w:themeShade="80"/>
            <w:spacing w:val="8"/>
            <w:kern w:val="0"/>
            <w:lang w:eastAsia="en-GB"/>
            <w14:ligatures w14:val="none"/>
          </w:rPr>
          <w:t>istqarrija</w:t>
        </w:r>
        <w:proofErr w:type="spellEnd"/>
        <w:r w:rsidRPr="00212BF1">
          <w:rPr>
            <w:rStyle w:val="Hyperlink"/>
            <w:rFonts w:eastAsia="Times New Roman" w:cs="Arial"/>
            <w:color w:val="233C43" w:themeColor="hyperlink" w:themeShade="80"/>
            <w:spacing w:val="8"/>
            <w:kern w:val="0"/>
            <w:lang w:eastAsia="en-GB"/>
            <w14:ligatures w14:val="none"/>
          </w:rPr>
          <w:t xml:space="preserve"> </w:t>
        </w:r>
        <w:proofErr w:type="spellStart"/>
        <w:r w:rsidRPr="00212BF1">
          <w:rPr>
            <w:rStyle w:val="Hyperlink"/>
            <w:rFonts w:eastAsia="Times New Roman" w:cs="Arial"/>
            <w:color w:val="233C43" w:themeColor="hyperlink" w:themeShade="80"/>
            <w:spacing w:val="8"/>
            <w:kern w:val="0"/>
            <w:lang w:eastAsia="en-GB"/>
            <w14:ligatures w14:val="none"/>
          </w:rPr>
          <w:t>għal</w:t>
        </w:r>
        <w:r w:rsidRPr="00212BF1">
          <w:rPr>
            <w:rStyle w:val="Hyperlink"/>
            <w:rFonts w:eastAsia="Times New Roman" w:cs="Arial"/>
            <w:color w:val="233C43" w:themeColor="hyperlink" w:themeShade="80"/>
            <w:spacing w:val="8"/>
            <w:kern w:val="0"/>
            <w:lang w:eastAsia="en-GB"/>
            <w14:ligatures w14:val="none"/>
          </w:rPr>
          <w:t>l</w:t>
        </w:r>
        <w:r w:rsidRPr="00212BF1">
          <w:rPr>
            <w:rStyle w:val="Hyperlink"/>
            <w:rFonts w:eastAsia="Times New Roman" w:cs="Arial"/>
            <w:color w:val="233C43" w:themeColor="hyperlink" w:themeShade="80"/>
            <w:spacing w:val="8"/>
            <w:kern w:val="0"/>
            <w:lang w:eastAsia="en-GB"/>
            <w14:ligatures w14:val="none"/>
          </w:rPr>
          <w:t>-Istampa</w:t>
        </w:r>
        <w:proofErr w:type="spellEnd"/>
      </w:hyperlink>
      <w:r w:rsidRPr="00212BF1">
        <w:rPr>
          <w:rFonts w:eastAsia="Times New Roman" w:cs="Arial"/>
          <w:color w:val="074F6A" w:themeColor="accent4" w:themeShade="80"/>
          <w:spacing w:val="8"/>
          <w:kern w:val="0"/>
          <w:lang w:eastAsia="en-GB"/>
          <w14:ligatures w14:val="none"/>
        </w:rPr>
        <w:t xml:space="preserve"> </w:t>
      </w:r>
      <w:r w:rsidRPr="00CF2D82">
        <w:rPr>
          <w:rFonts w:eastAsia="Times New Roman" w:cs="Arial"/>
          <w:color w:val="000000"/>
          <w:spacing w:val="8"/>
          <w:kern w:val="0"/>
          <w:lang w:eastAsia="en-GB"/>
          <w14:ligatures w14:val="none"/>
        </w:rPr>
        <w:t>tad-DOI.</w:t>
      </w:r>
    </w:p>
    <w:p w14:paraId="541B3078" w14:textId="77777777" w:rsidR="00CF2D82" w:rsidRPr="002D1E78" w:rsidRDefault="00CF2D82" w:rsidP="002D1E78">
      <w:pPr>
        <w:jc w:val="both"/>
      </w:pPr>
    </w:p>
    <w:sectPr w:rsidR="00CF2D82" w:rsidRPr="002D1E78" w:rsidSect="005A3F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78"/>
    <w:rsid w:val="00166D87"/>
    <w:rsid w:val="00212BF1"/>
    <w:rsid w:val="002D1E78"/>
    <w:rsid w:val="005A3F67"/>
    <w:rsid w:val="00BD7A76"/>
    <w:rsid w:val="00CF2D82"/>
    <w:rsid w:val="00E9002B"/>
    <w:rsid w:val="00F9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B3110"/>
  <w15:chartTrackingRefBased/>
  <w15:docId w15:val="{3CEC69ED-6E4E-475B-B324-9A112FC9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E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E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E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E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E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E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E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E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E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E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E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E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E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E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E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E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E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D1E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1E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2BF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v.mt/en/Government/DOI/Press%20Releases/Pages/2026/10/13/pr261703.asp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easury.gov.mt/rizorsi/pubblikazzjonijiet/offerta-ta-tigdid-tat-62-malta-government-savings-bond/" TargetMode="External"/><Relationship Id="rId5" Type="http://schemas.openxmlformats.org/officeDocument/2006/relationships/hyperlink" Target="https://www.gov.mt/en/Government/DOI/Press%20Releases/Pages/2026/10/13/pr261703en.aspx" TargetMode="External"/><Relationship Id="rId4" Type="http://schemas.openxmlformats.org/officeDocument/2006/relationships/hyperlink" Target="https://treasury.gov.mt/en/resources/publications/rollover-of-62-malta-government-savings-bond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Malta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Mercieca Clive at Treasury</dc:creator>
  <cp:keywords/>
  <dc:description/>
  <cp:lastModifiedBy>Mercieca Clive at Treasury</cp:lastModifiedBy>
  <cp:revision>1</cp:revision>
  <dcterms:created xsi:type="dcterms:W3CDTF">2026-10-19T09:11:00Z</dcterms:created>
  <dcterms:modified xsi:type="dcterms:W3CDTF">2026-10-19T09:36:00Z</dcterms:modified>
</cp:coreProperties>
</file>